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9DC9" w14:textId="4ADA0E8F" w:rsidR="008D352F" w:rsidRDefault="00E74108" w:rsidP="008D352F">
      <w:pPr>
        <w:pStyle w:val="NoSpacing"/>
        <w:jc w:val="center"/>
        <w:rPr>
          <w:rFonts w:ascii="Century Gothic" w:hAnsi="Century Gothic"/>
          <w:b/>
          <w:bCs/>
          <w:sz w:val="24"/>
          <w:szCs w:val="24"/>
        </w:rPr>
      </w:pPr>
      <w:r>
        <w:rPr>
          <w:b/>
          <w:bCs/>
          <w:noProof/>
        </w:rPr>
        <mc:AlternateContent>
          <mc:Choice Requires="wps">
            <w:drawing>
              <wp:anchor distT="0" distB="0" distL="114300" distR="114300" simplePos="0" relativeHeight="251658241" behindDoc="0" locked="0" layoutInCell="1" allowOverlap="1" wp14:anchorId="2A6D5027" wp14:editId="2F3C5899">
                <wp:simplePos x="0" y="0"/>
                <wp:positionH relativeFrom="column">
                  <wp:posOffset>2279650</wp:posOffset>
                </wp:positionH>
                <wp:positionV relativeFrom="paragraph">
                  <wp:posOffset>-351155</wp:posOffset>
                </wp:positionV>
                <wp:extent cx="4699000" cy="5524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699000" cy="552450"/>
                        </a:xfrm>
                        <a:prstGeom prst="rect">
                          <a:avLst/>
                        </a:prstGeom>
                        <a:solidFill>
                          <a:schemeClr val="lt1"/>
                        </a:solidFill>
                        <a:ln w="6350">
                          <a:noFill/>
                        </a:ln>
                      </wps:spPr>
                      <wps:txbx>
                        <w:txbxContent>
                          <w:p w14:paraId="1158B418" w14:textId="77777777" w:rsidR="00E74108" w:rsidRPr="00E74108" w:rsidRDefault="00E74108" w:rsidP="00E74108">
                            <w:pPr>
                              <w:pStyle w:val="NoSpacing"/>
                              <w:jc w:val="center"/>
                              <w:rPr>
                                <w:rFonts w:ascii="Century Gothic" w:hAnsi="Century Gothic"/>
                                <w:b/>
                                <w:bCs/>
                                <w:color w:val="00486C"/>
                                <w:sz w:val="28"/>
                                <w:szCs w:val="28"/>
                              </w:rPr>
                            </w:pPr>
                            <w:bookmarkStart w:id="0" w:name="_Hlk16575482"/>
                            <w:r w:rsidRPr="00E74108">
                              <w:rPr>
                                <w:rFonts w:ascii="Century Gothic" w:hAnsi="Century Gothic"/>
                                <w:b/>
                                <w:bCs/>
                                <w:color w:val="00486C"/>
                                <w:sz w:val="28"/>
                                <w:szCs w:val="28"/>
                              </w:rPr>
                              <w:t xml:space="preserve">Rapid Action </w:t>
                            </w:r>
                          </w:p>
                          <w:p w14:paraId="571783EA" w14:textId="7D8FD12D" w:rsidR="00E74108" w:rsidRPr="00E74108" w:rsidRDefault="00E74108" w:rsidP="00E74108">
                            <w:pPr>
                              <w:pStyle w:val="NoSpacing"/>
                              <w:jc w:val="center"/>
                              <w:rPr>
                                <w:rFonts w:ascii="Century Gothic" w:hAnsi="Century Gothic"/>
                                <w:b/>
                                <w:bCs/>
                                <w:color w:val="00486C"/>
                                <w:sz w:val="28"/>
                                <w:szCs w:val="28"/>
                              </w:rPr>
                            </w:pPr>
                            <w:r w:rsidRPr="00E74108">
                              <w:rPr>
                                <w:rFonts w:ascii="Century Gothic" w:hAnsi="Century Gothic"/>
                                <w:b/>
                                <w:bCs/>
                                <w:color w:val="00486C"/>
                                <w:sz w:val="28"/>
                                <w:szCs w:val="28"/>
                              </w:rPr>
                              <w:t>Readmission Reduction Collaborative Toolkit</w:t>
                            </w:r>
                          </w:p>
                          <w:bookmarkEnd w:id="0"/>
                          <w:p w14:paraId="1C410975" w14:textId="77777777" w:rsidR="00E74108" w:rsidRPr="00E74108" w:rsidRDefault="00E74108">
                            <w:pPr>
                              <w:rPr>
                                <w:color w:val="00486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5027" id="_x0000_t202" coordsize="21600,21600" o:spt="202" path="m,l,21600r21600,l21600,xe">
                <v:stroke joinstyle="miter"/>
                <v:path gradientshapeok="t" o:connecttype="rect"/>
              </v:shapetype>
              <v:shape id="Text Box 1" o:spid="_x0000_s1026" type="#_x0000_t202" style="position:absolute;left:0;text-align:left;margin-left:179.5pt;margin-top:-27.65pt;width:370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" fillcolor="white [3201]" stroked="f" strokeweight=".5pt">
                <v:textbox>
                  <w:txbxContent>
                    <w:p w14:paraId="1158B418" w14:textId="77777777" w:rsidR="00E74108" w:rsidRPr="00E74108" w:rsidRDefault="00E74108" w:rsidP="00E74108">
                      <w:pPr>
                        <w:pStyle w:val="NoSpacing"/>
                        <w:jc w:val="center"/>
                        <w:rPr>
                          <w:rFonts w:ascii="Century Gothic" w:hAnsi="Century Gothic"/>
                          <w:b/>
                          <w:bCs/>
                          <w:color w:val="00486C"/>
                          <w:sz w:val="28"/>
                          <w:szCs w:val="28"/>
                        </w:rPr>
                      </w:pPr>
                      <w:bookmarkStart w:id="1" w:name="_Hlk16575482"/>
                      <w:r w:rsidRPr="00E74108">
                        <w:rPr>
                          <w:rFonts w:ascii="Century Gothic" w:hAnsi="Century Gothic"/>
                          <w:b/>
                          <w:bCs/>
                          <w:color w:val="00486C"/>
                          <w:sz w:val="28"/>
                          <w:szCs w:val="28"/>
                        </w:rPr>
                        <w:t xml:space="preserve">Rapid Action </w:t>
                      </w:r>
                    </w:p>
                    <w:p w14:paraId="571783EA" w14:textId="7D8FD12D" w:rsidR="00E74108" w:rsidRPr="00E74108" w:rsidRDefault="00E74108" w:rsidP="00E74108">
                      <w:pPr>
                        <w:pStyle w:val="NoSpacing"/>
                        <w:jc w:val="center"/>
                        <w:rPr>
                          <w:rFonts w:ascii="Century Gothic" w:hAnsi="Century Gothic"/>
                          <w:b/>
                          <w:bCs/>
                          <w:color w:val="00486C"/>
                          <w:sz w:val="28"/>
                          <w:szCs w:val="28"/>
                        </w:rPr>
                      </w:pPr>
                      <w:r w:rsidRPr="00E74108">
                        <w:rPr>
                          <w:rFonts w:ascii="Century Gothic" w:hAnsi="Century Gothic"/>
                          <w:b/>
                          <w:bCs/>
                          <w:color w:val="00486C"/>
                          <w:sz w:val="28"/>
                          <w:szCs w:val="28"/>
                        </w:rPr>
                        <w:t>Readmission Reduction Collaborative Toolkit</w:t>
                      </w:r>
                    </w:p>
                    <w:bookmarkEnd w:id="1"/>
                    <w:p w14:paraId="1C410975" w14:textId="77777777" w:rsidR="00E74108" w:rsidRPr="00E74108" w:rsidRDefault="00E74108">
                      <w:pPr>
                        <w:rPr>
                          <w:color w:val="00486C"/>
                        </w:rPr>
                      </w:pPr>
                    </w:p>
                  </w:txbxContent>
                </v:textbox>
              </v:shape>
            </w:pict>
          </mc:Fallback>
        </mc:AlternateContent>
      </w:r>
      <w:r w:rsidR="008D352F" w:rsidRPr="009420E1">
        <w:rPr>
          <w:b/>
          <w:bCs/>
          <w:noProof/>
        </w:rPr>
        <w:drawing>
          <wp:anchor distT="0" distB="0" distL="114300" distR="114300" simplePos="0" relativeHeight="251658240" behindDoc="0" locked="0" layoutInCell="1" allowOverlap="1" wp14:anchorId="04ADE9C0" wp14:editId="37307174">
            <wp:simplePos x="0" y="0"/>
            <wp:positionH relativeFrom="margin">
              <wp:align>left</wp:align>
            </wp:positionH>
            <wp:positionV relativeFrom="margin">
              <wp:posOffset>-330200</wp:posOffset>
            </wp:positionV>
            <wp:extent cx="2000250" cy="510628"/>
            <wp:effectExtent l="0" t="0" r="0" b="3810"/>
            <wp:wrapSquare wrapText="bothSides"/>
            <wp:docPr id="12" name="Content Placeholder 11">
              <a:extLst xmlns:a="http://schemas.openxmlformats.org/drawingml/2006/main">
                <a:ext uri="{FF2B5EF4-FFF2-40B4-BE49-F238E27FC236}">
                  <a16:creationId xmlns:a16="http://schemas.microsoft.com/office/drawing/2014/main" id="{B6554C31-4F7B-4827-A245-C155DE86FA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a:extLst>
                        <a:ext uri="{FF2B5EF4-FFF2-40B4-BE49-F238E27FC236}">
                          <a16:creationId xmlns:a16="http://schemas.microsoft.com/office/drawing/2014/main" id="{B6554C31-4F7B-4827-A245-C155DE86FAFD}"/>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510628"/>
                    </a:xfrm>
                    <a:prstGeom prst="rect">
                      <a:avLst/>
                    </a:prstGeom>
                  </pic:spPr>
                </pic:pic>
              </a:graphicData>
            </a:graphic>
          </wp:anchor>
        </w:drawing>
      </w:r>
    </w:p>
    <w:p w14:paraId="24B14303" w14:textId="776AE877" w:rsidR="008D352F" w:rsidRPr="00C0721C" w:rsidRDefault="008D352F" w:rsidP="0044495D">
      <w:pPr>
        <w:jc w:val="righ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A459C" w14:paraId="58BC2B91" w14:textId="77777777" w:rsidTr="00A8387E">
        <w:tc>
          <w:tcPr>
            <w:tcW w:w="10790" w:type="dxa"/>
            <w:shd w:val="clear" w:color="auto" w:fill="B7E7FF"/>
          </w:tcPr>
          <w:p w14:paraId="089BB6B0" w14:textId="28A7B151" w:rsidR="003A459C" w:rsidRPr="003A459C" w:rsidRDefault="004632A6" w:rsidP="003A459C">
            <w:pPr>
              <w:pStyle w:val="NoSpacing"/>
              <w:rPr>
                <w:b/>
                <w:bCs/>
              </w:rPr>
            </w:pPr>
            <w:r>
              <w:rPr>
                <w:b/>
                <w:bCs/>
                <w:sz w:val="28"/>
                <w:szCs w:val="28"/>
              </w:rPr>
              <w:t>Innovate-ND</w:t>
            </w:r>
          </w:p>
        </w:tc>
      </w:tr>
      <w:tr w:rsidR="003A459C" w14:paraId="48B457A1" w14:textId="77777777" w:rsidTr="00A8387E">
        <w:tc>
          <w:tcPr>
            <w:tcW w:w="10790" w:type="dxa"/>
          </w:tcPr>
          <w:p w14:paraId="423C56E9" w14:textId="77777777" w:rsidR="001C3376" w:rsidRPr="00C0721C" w:rsidRDefault="001C3376" w:rsidP="003A459C">
            <w:pPr>
              <w:pStyle w:val="NoSpacing"/>
              <w:rPr>
                <w:b/>
                <w:bCs/>
                <w:color w:val="0563C1"/>
                <w:sz w:val="12"/>
                <w:szCs w:val="12"/>
              </w:rPr>
            </w:pPr>
          </w:p>
          <w:p w14:paraId="5B46BD3A" w14:textId="344A8A5A" w:rsidR="003A459C" w:rsidRPr="00E145B9" w:rsidRDefault="006A56D0" w:rsidP="00E145B9">
            <w:pPr>
              <w:pStyle w:val="NoSpacing"/>
            </w:pPr>
            <w:hyperlink r:id="rId11" w:history="1">
              <w:r w:rsidR="003A459C" w:rsidRPr="00D05456">
                <w:rPr>
                  <w:rStyle w:val="Hyperlink"/>
                  <w:b/>
                  <w:bCs/>
                </w:rPr>
                <w:t>Mini RCA Readmission Process Improvement Discovery Tool</w:t>
              </w:r>
            </w:hyperlink>
            <w:r w:rsidR="003A459C" w:rsidRPr="00E145B9">
              <w:t xml:space="preserve"> (Excel)</w:t>
            </w:r>
          </w:p>
          <w:p w14:paraId="43D65374" w14:textId="77777777" w:rsidR="003A459C" w:rsidRPr="00C0721C" w:rsidRDefault="003A459C" w:rsidP="003A459C">
            <w:pPr>
              <w:pStyle w:val="NoSpacing"/>
              <w:rPr>
                <w:sz w:val="12"/>
                <w:szCs w:val="12"/>
              </w:rPr>
            </w:pPr>
          </w:p>
          <w:p w14:paraId="55B805EA" w14:textId="1838195B" w:rsidR="00B957FF" w:rsidRPr="00832CFA" w:rsidRDefault="006A56D0" w:rsidP="00B957FF">
            <w:pPr>
              <w:rPr>
                <w:b/>
                <w:bCs/>
                <w:color w:val="FF0000"/>
              </w:rPr>
            </w:pPr>
            <w:hyperlink r:id="rId12" w:history="1">
              <w:r w:rsidR="00B957FF" w:rsidRPr="00832CFA">
                <w:rPr>
                  <w:rStyle w:val="Hyperlink"/>
                  <w:b/>
                  <w:bCs/>
                </w:rPr>
                <w:t>Deployment Checklist</w:t>
              </w:r>
            </w:hyperlink>
            <w:r w:rsidR="00B957FF" w:rsidRPr="00832CFA">
              <w:rPr>
                <w:b/>
                <w:bCs/>
                <w:color w:val="0563C1"/>
              </w:rPr>
              <w:t xml:space="preserve"> </w:t>
            </w:r>
          </w:p>
          <w:p w14:paraId="0C79F6DB" w14:textId="1A5B40C7" w:rsidR="00254B5F" w:rsidRDefault="00254B5F" w:rsidP="00C072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4632A6" w:rsidRPr="003A459C" w14:paraId="15E2015E" w14:textId="77777777" w:rsidTr="00E42EBD">
              <w:tc>
                <w:tcPr>
                  <w:tcW w:w="10790" w:type="dxa"/>
                  <w:shd w:val="clear" w:color="auto" w:fill="B7E7FF"/>
                </w:tcPr>
                <w:p w14:paraId="28EC8CCB" w14:textId="77777777" w:rsidR="004632A6" w:rsidRPr="003A459C" w:rsidRDefault="004632A6" w:rsidP="004632A6">
                  <w:pPr>
                    <w:pStyle w:val="NoSpacing"/>
                    <w:rPr>
                      <w:b/>
                      <w:bCs/>
                    </w:rPr>
                  </w:pPr>
                  <w:bookmarkStart w:id="1" w:name="_Hlk32481897"/>
                  <w:r w:rsidRPr="003A459C">
                    <w:rPr>
                      <w:b/>
                      <w:bCs/>
                      <w:sz w:val="28"/>
                      <w:szCs w:val="28"/>
                    </w:rPr>
                    <w:t>HRET HIIN</w:t>
                  </w:r>
                </w:p>
              </w:tc>
            </w:tr>
            <w:bookmarkEnd w:id="1"/>
          </w:tbl>
          <w:p w14:paraId="68C77676" w14:textId="77777777" w:rsidR="004632A6" w:rsidRDefault="004632A6" w:rsidP="00C0721C"/>
          <w:p w14:paraId="3593E85A" w14:textId="2CEF060A" w:rsidR="00C0721C" w:rsidRPr="00C0721C" w:rsidRDefault="006A56D0" w:rsidP="00C0721C">
            <w:pPr>
              <w:rPr>
                <w:b/>
                <w:bCs/>
              </w:rPr>
            </w:pPr>
            <w:hyperlink r:id="rId13" w:history="1">
              <w:r w:rsidR="00C0721C" w:rsidRPr="00C0721C">
                <w:rPr>
                  <w:rStyle w:val="Hyperlink"/>
                  <w:b/>
                  <w:bCs/>
                </w:rPr>
                <w:t xml:space="preserve">HRET </w:t>
              </w:r>
              <w:r w:rsidR="00C0721C" w:rsidRPr="00832CFA">
                <w:rPr>
                  <w:rStyle w:val="Hyperlink"/>
                  <w:b/>
                  <w:bCs/>
                  <w:color w:val="0563C1"/>
                </w:rPr>
                <w:t>HIIN</w:t>
              </w:r>
              <w:r w:rsidR="00C0721C" w:rsidRPr="00C0721C">
                <w:rPr>
                  <w:rStyle w:val="Hyperlink"/>
                  <w:b/>
                  <w:bCs/>
                </w:rPr>
                <w:t xml:space="preserve"> Readmission Reduction Resources</w:t>
              </w:r>
            </w:hyperlink>
            <w:r w:rsidR="00C0721C" w:rsidRPr="00C0721C">
              <w:rPr>
                <w:b/>
                <w:bCs/>
              </w:rPr>
              <w:t xml:space="preserve"> </w:t>
            </w:r>
          </w:p>
          <w:p w14:paraId="06458536" w14:textId="3303FDAC" w:rsidR="00C0721C" w:rsidRDefault="00C0721C" w:rsidP="00C0721C">
            <w:pPr>
              <w:pStyle w:val="NoSpacing"/>
              <w:rPr>
                <w:b/>
                <w:bCs/>
                <w:color w:val="0563C1"/>
              </w:rPr>
            </w:pPr>
            <w:r>
              <w:t xml:space="preserve">These resources and tools are designed to help hospitals make patient care safer and improve care transitions. Included are the </w:t>
            </w:r>
            <w:hyperlink r:id="rId14" w:history="1">
              <w:r>
                <w:rPr>
                  <w:rStyle w:val="Hyperlink"/>
                  <w:b/>
                  <w:bCs/>
                </w:rPr>
                <w:t>Readmissions Change Package | 2018</w:t>
              </w:r>
            </w:hyperlink>
            <w:r>
              <w:t xml:space="preserve"> which provides a menu of strategies, change concepts and specific actionable items and the </w:t>
            </w:r>
            <w:hyperlink r:id="rId15" w:history="1">
              <w:r w:rsidRPr="00C0721C">
                <w:rPr>
                  <w:rStyle w:val="Hyperlink"/>
                  <w:b/>
                  <w:bCs/>
                </w:rPr>
                <w:t>Readmissions Data Collection Fact Sheet</w:t>
              </w:r>
            </w:hyperlink>
            <w:r>
              <w:t>, a valuable reference for data collection and reporting.</w:t>
            </w:r>
          </w:p>
          <w:p w14:paraId="23752C85" w14:textId="77777777" w:rsidR="003A459C" w:rsidRPr="00C0721C" w:rsidRDefault="003A459C" w:rsidP="003A459C">
            <w:pPr>
              <w:pStyle w:val="NoSpacing"/>
              <w:rPr>
                <w:sz w:val="12"/>
                <w:szCs w:val="12"/>
              </w:rPr>
            </w:pPr>
          </w:p>
          <w:p w14:paraId="61399D44" w14:textId="77777777" w:rsidR="003A459C" w:rsidRPr="003A459C" w:rsidRDefault="006A56D0" w:rsidP="003A459C">
            <w:pPr>
              <w:pStyle w:val="NoSpacing"/>
              <w:rPr>
                <w:b/>
                <w:bCs/>
                <w:color w:val="007CBA"/>
              </w:rPr>
            </w:pPr>
            <w:hyperlink r:id="rId16" w:history="1">
              <w:r w:rsidR="003A459C" w:rsidRPr="001C3376">
                <w:rPr>
                  <w:rStyle w:val="Hyperlink"/>
                  <w:b/>
                  <w:bCs/>
                  <w:color w:val="0563C1"/>
                </w:rPr>
                <w:t>CMS Discharge Planning Checklist</w:t>
              </w:r>
            </w:hyperlink>
          </w:p>
          <w:p w14:paraId="7A532752" w14:textId="77777777" w:rsidR="003A459C" w:rsidRPr="00E74108" w:rsidRDefault="003A459C" w:rsidP="003A459C">
            <w:pPr>
              <w:pStyle w:val="NoSpacing"/>
              <w:rPr>
                <w:b/>
                <w:bCs/>
              </w:rPr>
            </w:pPr>
            <w:r w:rsidRPr="00E74108">
              <w:t xml:space="preserve">This tool </w:t>
            </w:r>
            <w:r w:rsidRPr="00E74108">
              <w:rPr>
                <w:rFonts w:asciiTheme="minorHAnsi" w:hAnsiTheme="minorHAnsi"/>
              </w:rPr>
              <w:t xml:space="preserve">provides a checklist of discharge elements that CMS states should be provided to all Medicare and Medicaid patients. This tool can be used to update existing processes and identify whether new processes and practices need to be implemented. </w:t>
            </w:r>
            <w:r w:rsidRPr="00E74108">
              <w:t>Updated by the Centers for Medicare and Medicaid (CMS) in March 2019.</w:t>
            </w:r>
          </w:p>
          <w:p w14:paraId="63186B06" w14:textId="77777777" w:rsidR="003A459C" w:rsidRPr="00C0721C" w:rsidRDefault="003A459C" w:rsidP="003A459C">
            <w:pPr>
              <w:pStyle w:val="NoSpacing"/>
              <w:rPr>
                <w:sz w:val="12"/>
                <w:szCs w:val="12"/>
              </w:rPr>
            </w:pPr>
          </w:p>
          <w:p w14:paraId="3ACEB74C" w14:textId="77777777" w:rsidR="003A459C" w:rsidRPr="001C3376" w:rsidRDefault="006A56D0" w:rsidP="003A459C">
            <w:pPr>
              <w:pStyle w:val="NoSpacing"/>
              <w:rPr>
                <w:b/>
                <w:bCs/>
                <w:color w:val="0563C1"/>
              </w:rPr>
            </w:pPr>
            <w:hyperlink r:id="rId17" w:history="1">
              <w:r w:rsidR="003A459C" w:rsidRPr="001C3376">
                <w:rPr>
                  <w:rStyle w:val="Hyperlink"/>
                  <w:b/>
                  <w:bCs/>
                  <w:color w:val="0563C1"/>
                </w:rPr>
                <w:t>ASPIRE Tool 2: Readmission Review Tool</w:t>
              </w:r>
            </w:hyperlink>
          </w:p>
          <w:p w14:paraId="5E7E8A5A" w14:textId="5D918EF2" w:rsidR="003A459C" w:rsidRDefault="003A459C" w:rsidP="003A459C">
            <w:r w:rsidRPr="00E74108">
              <w:t>This tool includes a readmission interview guide and root cause analysis to assist quality improvement and clinical staff in understanding the patient or caregiver’s perspective about readmissions.</w:t>
            </w:r>
          </w:p>
          <w:p w14:paraId="3425CC1B" w14:textId="61D917F1" w:rsidR="00BB442E" w:rsidRDefault="00BB442E" w:rsidP="003A459C"/>
          <w:p w14:paraId="607852EA" w14:textId="0878775A" w:rsidR="00C34948" w:rsidRPr="00546DAE" w:rsidRDefault="006A56D0" w:rsidP="003A459C">
            <w:pPr>
              <w:rPr>
                <w:b/>
                <w:bCs/>
              </w:rPr>
            </w:pPr>
            <w:hyperlink r:id="rId18" w:history="1">
              <w:r w:rsidR="008127A4" w:rsidRPr="00546DAE">
                <w:rPr>
                  <w:rStyle w:val="Hyperlink"/>
                  <w:b/>
                  <w:bCs/>
                </w:rPr>
                <w:t>Getting There Guide: Engage the Right People on Your Performance Improvement Journey</w:t>
              </w:r>
            </w:hyperlink>
          </w:p>
          <w:p w14:paraId="66E1C010" w14:textId="6D4ECA10" w:rsidR="00024FC5" w:rsidRDefault="00D81DEB" w:rsidP="003A459C">
            <w:r>
              <w:t xml:space="preserve">The Getting </w:t>
            </w:r>
            <w:r w:rsidR="00C34948">
              <w:t>There</w:t>
            </w:r>
            <w:r>
              <w:t xml:space="preserve"> Guide </w:t>
            </w:r>
            <w:r w:rsidR="00EA0EFD">
              <w:t xml:space="preserve">dives into engagement of staff within the hospital and understanding who and how to engage or connect in an effective way. </w:t>
            </w:r>
            <w:r>
              <w:t xml:space="preserve"> </w:t>
            </w:r>
          </w:p>
          <w:p w14:paraId="45E04B44" w14:textId="66156989" w:rsidR="003A459C" w:rsidRPr="001C3376" w:rsidRDefault="003A459C" w:rsidP="003A459C">
            <w:pPr>
              <w:rPr>
                <w:sz w:val="16"/>
                <w:szCs w:val="16"/>
              </w:rPr>
            </w:pPr>
          </w:p>
        </w:tc>
      </w:tr>
      <w:tr w:rsidR="003A459C" w14:paraId="1718AD75" w14:textId="77777777" w:rsidTr="00A8387E">
        <w:tc>
          <w:tcPr>
            <w:tcW w:w="10790" w:type="dxa"/>
            <w:shd w:val="clear" w:color="auto" w:fill="B7E7FF"/>
          </w:tcPr>
          <w:p w14:paraId="499292DB" w14:textId="1656B1B6" w:rsidR="003A459C" w:rsidRPr="003A459C" w:rsidRDefault="003A459C" w:rsidP="003A459C">
            <w:pPr>
              <w:pStyle w:val="NoSpacing"/>
              <w:rPr>
                <w:b/>
                <w:bCs/>
              </w:rPr>
            </w:pPr>
            <w:r w:rsidRPr="003A459C">
              <w:rPr>
                <w:rFonts w:eastAsia="Times New Roman"/>
                <w:b/>
                <w:bCs/>
                <w:sz w:val="28"/>
                <w:szCs w:val="28"/>
              </w:rPr>
              <w:t>ND HRET HIIN Participating Hospitals</w:t>
            </w:r>
          </w:p>
        </w:tc>
      </w:tr>
      <w:tr w:rsidR="003A459C" w14:paraId="62196F8C" w14:textId="77777777" w:rsidTr="00A8387E">
        <w:tc>
          <w:tcPr>
            <w:tcW w:w="10790" w:type="dxa"/>
          </w:tcPr>
          <w:p w14:paraId="4B1B6D73" w14:textId="77777777" w:rsidR="001C3376" w:rsidRPr="00C0721C" w:rsidRDefault="001C3376" w:rsidP="003A459C">
            <w:pPr>
              <w:pStyle w:val="NoSpacing"/>
              <w:rPr>
                <w:sz w:val="12"/>
                <w:szCs w:val="12"/>
              </w:rPr>
            </w:pPr>
          </w:p>
          <w:p w14:paraId="36DBC7FE" w14:textId="1FDF0DA6" w:rsidR="003A459C" w:rsidRPr="0044495D" w:rsidRDefault="006A56D0" w:rsidP="003A459C">
            <w:pPr>
              <w:pStyle w:val="NoSpacing"/>
              <w:rPr>
                <w:b/>
                <w:bCs/>
              </w:rPr>
            </w:pPr>
            <w:hyperlink r:id="rId19" w:history="1">
              <w:r w:rsidR="003A459C" w:rsidRPr="00E83DEE">
                <w:rPr>
                  <w:rStyle w:val="Hyperlink"/>
                  <w:b/>
                  <w:bCs/>
                </w:rPr>
                <w:t xml:space="preserve">Linton Patient Follow-up </w:t>
              </w:r>
              <w:r w:rsidR="003A459C" w:rsidRPr="001C3376">
                <w:rPr>
                  <w:rStyle w:val="Hyperlink"/>
                  <w:b/>
                  <w:bCs/>
                  <w:color w:val="0563C1"/>
                </w:rPr>
                <w:t>Call</w:t>
              </w:r>
              <w:r w:rsidR="003A459C" w:rsidRPr="00E83DEE">
                <w:rPr>
                  <w:rStyle w:val="Hyperlink"/>
                  <w:b/>
                  <w:bCs/>
                </w:rPr>
                <w:t xml:space="preserve"> Policy</w:t>
              </w:r>
            </w:hyperlink>
          </w:p>
          <w:p w14:paraId="166C159E" w14:textId="77777777" w:rsidR="001C3376" w:rsidRPr="001C3376" w:rsidRDefault="001C3376" w:rsidP="003A459C">
            <w:pPr>
              <w:pStyle w:val="NoSpacing"/>
              <w:rPr>
                <w:sz w:val="16"/>
                <w:szCs w:val="16"/>
              </w:rPr>
            </w:pPr>
          </w:p>
          <w:p w14:paraId="28941CB0" w14:textId="5268B81D" w:rsidR="003A459C" w:rsidRPr="0044495D" w:rsidRDefault="006A56D0" w:rsidP="003A459C">
            <w:pPr>
              <w:pStyle w:val="NoSpacing"/>
              <w:rPr>
                <w:b/>
                <w:bCs/>
              </w:rPr>
            </w:pPr>
            <w:hyperlink r:id="rId20" w:history="1">
              <w:r w:rsidR="003A459C" w:rsidRPr="00E83DEE">
                <w:rPr>
                  <w:rStyle w:val="Hyperlink"/>
                  <w:b/>
                  <w:bCs/>
                </w:rPr>
                <w:t>Linton Patient Follow-up Call Form</w:t>
              </w:r>
            </w:hyperlink>
          </w:p>
          <w:p w14:paraId="44F39892" w14:textId="77777777" w:rsidR="001C3376" w:rsidRPr="001C3376" w:rsidRDefault="001C3376" w:rsidP="003A459C">
            <w:pPr>
              <w:rPr>
                <w:sz w:val="16"/>
                <w:szCs w:val="16"/>
              </w:rPr>
            </w:pPr>
          </w:p>
          <w:p w14:paraId="74B217E3" w14:textId="0AB88CFF" w:rsidR="003A459C" w:rsidRDefault="006A56D0" w:rsidP="003A459C">
            <w:pPr>
              <w:rPr>
                <w:rStyle w:val="Hyperlink"/>
                <w:b/>
                <w:bCs/>
                <w:color w:val="0563C1"/>
              </w:rPr>
            </w:pPr>
            <w:hyperlink r:id="rId21" w:history="1">
              <w:r w:rsidR="003A459C" w:rsidRPr="001C3376">
                <w:rPr>
                  <w:rStyle w:val="Hyperlink"/>
                  <w:b/>
                  <w:bCs/>
                  <w:color w:val="0563C1"/>
                </w:rPr>
                <w:t>Sakakawea Follow-up Phone Call Template</w:t>
              </w:r>
            </w:hyperlink>
          </w:p>
          <w:p w14:paraId="6505CF1A" w14:textId="2AE708B1" w:rsidR="00DC27C6" w:rsidRDefault="00DC27C6" w:rsidP="003A459C">
            <w:pPr>
              <w:rPr>
                <w:rStyle w:val="Hyperlink"/>
                <w:b/>
                <w:bCs/>
                <w:color w:val="0563C1"/>
              </w:rPr>
            </w:pPr>
          </w:p>
          <w:p w14:paraId="08E201B5" w14:textId="20052DE1" w:rsidR="00B957FF" w:rsidRPr="00B957FF" w:rsidRDefault="00E145B9" w:rsidP="003A459C">
            <w:pPr>
              <w:rPr>
                <w:rStyle w:val="Hyperlink"/>
                <w:b/>
                <w:bCs/>
                <w:color w:val="FF0000"/>
                <w:u w:val="none"/>
              </w:rPr>
            </w:pPr>
            <w:r w:rsidRPr="00B957FF">
              <w:rPr>
                <w:rStyle w:val="Hyperlink"/>
                <w:b/>
                <w:bCs/>
                <w:color w:val="0563C1"/>
                <w:u w:val="none"/>
              </w:rPr>
              <w:t>Presentation Medical Center</w:t>
            </w:r>
            <w:r w:rsidR="00B957FF" w:rsidRPr="00B957FF">
              <w:rPr>
                <w:rStyle w:val="Hyperlink"/>
                <w:b/>
                <w:bCs/>
                <w:color w:val="0563C1"/>
                <w:u w:val="none"/>
              </w:rPr>
              <w:t xml:space="preserve"> Admissions Packet:</w:t>
            </w:r>
            <w:r w:rsidR="00B957FF">
              <w:rPr>
                <w:rStyle w:val="Hyperlink"/>
                <w:b/>
                <w:bCs/>
                <w:color w:val="0563C1"/>
                <w:u w:val="none"/>
              </w:rPr>
              <w:t xml:space="preserve"> </w:t>
            </w:r>
          </w:p>
          <w:p w14:paraId="2CB3E7CB" w14:textId="05CCC799" w:rsidR="00B957FF" w:rsidRDefault="006A56D0" w:rsidP="003A459C">
            <w:pPr>
              <w:pStyle w:val="ListParagraph"/>
              <w:numPr>
                <w:ilvl w:val="0"/>
                <w:numId w:val="1"/>
              </w:numPr>
              <w:rPr>
                <w:rStyle w:val="Hyperlink"/>
                <w:color w:val="0563C1"/>
                <w:u w:val="none"/>
              </w:rPr>
            </w:pPr>
            <w:hyperlink r:id="rId22" w:history="1">
              <w:r w:rsidR="00AF56FB" w:rsidRPr="00054EE2">
                <w:rPr>
                  <w:rStyle w:val="Hyperlink"/>
                </w:rPr>
                <w:t>P</w:t>
              </w:r>
              <w:r w:rsidR="009A06D5" w:rsidRPr="00054EE2">
                <w:rPr>
                  <w:rStyle w:val="Hyperlink"/>
                </w:rPr>
                <w:t>MC Community Resource Guide</w:t>
              </w:r>
            </w:hyperlink>
          </w:p>
          <w:p w14:paraId="43354DBC" w14:textId="236E3BDF" w:rsidR="00B957FF" w:rsidRPr="00B957FF" w:rsidRDefault="006A56D0" w:rsidP="00B957FF">
            <w:pPr>
              <w:pStyle w:val="ListParagraph"/>
              <w:numPr>
                <w:ilvl w:val="0"/>
                <w:numId w:val="1"/>
              </w:numPr>
              <w:rPr>
                <w:color w:val="0563C1"/>
              </w:rPr>
            </w:pPr>
            <w:hyperlink r:id="rId23" w:history="1">
              <w:r w:rsidR="00B957FF" w:rsidRPr="001176F7">
                <w:rPr>
                  <w:rStyle w:val="Hyperlink"/>
                </w:rPr>
                <w:t>PMC Your Daily Routine in the Hospital</w:t>
              </w:r>
            </w:hyperlink>
          </w:p>
          <w:p w14:paraId="19A9EA2A" w14:textId="73DDD36F" w:rsidR="00B957FF" w:rsidRDefault="006A56D0" w:rsidP="003A459C">
            <w:pPr>
              <w:pStyle w:val="ListParagraph"/>
              <w:numPr>
                <w:ilvl w:val="0"/>
                <w:numId w:val="1"/>
              </w:numPr>
              <w:rPr>
                <w:color w:val="0563C1"/>
              </w:rPr>
            </w:pPr>
            <w:hyperlink r:id="rId24" w:history="1">
              <w:r w:rsidR="00B4035B" w:rsidRPr="000B7AEB">
                <w:rPr>
                  <w:rStyle w:val="Hyperlink"/>
                </w:rPr>
                <w:t xml:space="preserve">PMC Questions to </w:t>
              </w:r>
              <w:r w:rsidR="002C7B2F" w:rsidRPr="000B7AEB">
                <w:rPr>
                  <w:rStyle w:val="Hyperlink"/>
                </w:rPr>
                <w:t>A</w:t>
              </w:r>
              <w:r w:rsidR="00B4035B" w:rsidRPr="000B7AEB">
                <w:rPr>
                  <w:rStyle w:val="Hyperlink"/>
                </w:rPr>
                <w:t xml:space="preserve">sk before </w:t>
              </w:r>
              <w:r w:rsidR="002C7B2F" w:rsidRPr="000B7AEB">
                <w:rPr>
                  <w:rStyle w:val="Hyperlink"/>
                </w:rPr>
                <w:t>D</w:t>
              </w:r>
              <w:r w:rsidR="00B4035B" w:rsidRPr="000B7AEB">
                <w:rPr>
                  <w:rStyle w:val="Hyperlink"/>
                </w:rPr>
                <w:t>ischarge</w:t>
              </w:r>
            </w:hyperlink>
            <w:r w:rsidR="00B4035B" w:rsidRPr="00B957FF">
              <w:rPr>
                <w:color w:val="0563C1"/>
              </w:rPr>
              <w:t xml:space="preserve"> </w:t>
            </w:r>
          </w:p>
          <w:p w14:paraId="015CA0A3" w14:textId="77777777" w:rsidR="00B957FF" w:rsidRDefault="00B957FF" w:rsidP="00B957FF">
            <w:pPr>
              <w:pStyle w:val="ListParagraph"/>
              <w:rPr>
                <w:color w:val="0563C1"/>
              </w:rPr>
            </w:pPr>
          </w:p>
          <w:p w14:paraId="0CBB4AF8" w14:textId="2F8FF58C" w:rsidR="00B957FF" w:rsidRPr="004D203D" w:rsidRDefault="0041500C" w:rsidP="00B957FF">
            <w:pPr>
              <w:rPr>
                <w:b/>
                <w:bCs/>
                <w:color w:val="0563C1"/>
              </w:rPr>
            </w:pPr>
            <w:hyperlink r:id="rId25" w:history="1">
              <w:r w:rsidR="00B957FF" w:rsidRPr="0041500C">
                <w:rPr>
                  <w:rStyle w:val="Hyperlink"/>
                  <w:b/>
                  <w:bCs/>
                </w:rPr>
                <w:t>Presentation Medical Center Daily Rounds Worksheet</w:t>
              </w:r>
            </w:hyperlink>
            <w:bookmarkStart w:id="2" w:name="_GoBack"/>
            <w:bookmarkEnd w:id="2"/>
          </w:p>
          <w:p w14:paraId="28C32970" w14:textId="378E99E1" w:rsidR="003A459C" w:rsidRPr="001C3376" w:rsidRDefault="003A459C" w:rsidP="004D203D">
            <w:pPr>
              <w:pStyle w:val="ListParagraph"/>
              <w:rPr>
                <w:sz w:val="16"/>
                <w:szCs w:val="16"/>
              </w:rPr>
            </w:pPr>
          </w:p>
        </w:tc>
      </w:tr>
      <w:tr w:rsidR="003A459C" w14:paraId="1DA343DC" w14:textId="77777777" w:rsidTr="00A8387E">
        <w:tc>
          <w:tcPr>
            <w:tcW w:w="10790" w:type="dxa"/>
            <w:shd w:val="clear" w:color="auto" w:fill="B7E7FF"/>
          </w:tcPr>
          <w:p w14:paraId="04D9411A" w14:textId="251CEF3A" w:rsidR="003A459C" w:rsidRPr="003A459C" w:rsidRDefault="003A459C" w:rsidP="003A459C">
            <w:pPr>
              <w:pStyle w:val="NoSpacing"/>
              <w:rPr>
                <w:b/>
                <w:bCs/>
              </w:rPr>
            </w:pPr>
            <w:r w:rsidRPr="003A459C">
              <w:rPr>
                <w:b/>
                <w:bCs/>
                <w:sz w:val="28"/>
                <w:szCs w:val="28"/>
              </w:rPr>
              <w:t>Honoring Choices</w:t>
            </w:r>
          </w:p>
        </w:tc>
      </w:tr>
      <w:tr w:rsidR="003A459C" w14:paraId="10060ED6" w14:textId="77777777" w:rsidTr="00A8387E">
        <w:tc>
          <w:tcPr>
            <w:tcW w:w="10790" w:type="dxa"/>
          </w:tcPr>
          <w:p w14:paraId="7717D63B" w14:textId="77777777" w:rsidR="001C3376" w:rsidRPr="00C0721C" w:rsidRDefault="001C3376" w:rsidP="003A459C">
            <w:pPr>
              <w:pStyle w:val="NoSpacing"/>
              <w:rPr>
                <w:sz w:val="12"/>
                <w:szCs w:val="12"/>
              </w:rPr>
            </w:pPr>
          </w:p>
          <w:p w14:paraId="42D5B51F" w14:textId="3ED974FF" w:rsidR="003A459C" w:rsidRPr="00A8387E" w:rsidRDefault="006A56D0" w:rsidP="003A459C">
            <w:pPr>
              <w:pStyle w:val="NoSpacing"/>
              <w:rPr>
                <w:b/>
                <w:bCs/>
              </w:rPr>
            </w:pPr>
            <w:hyperlink r:id="rId26" w:history="1">
              <w:r w:rsidR="001C3376" w:rsidRPr="006704B1">
                <w:rPr>
                  <w:rStyle w:val="Hyperlink"/>
                  <w:b/>
                  <w:bCs/>
                </w:rPr>
                <w:t>www.honoringchoicesnd.org</w:t>
              </w:r>
            </w:hyperlink>
          </w:p>
          <w:p w14:paraId="3AB308A8" w14:textId="77777777" w:rsidR="003A459C" w:rsidRDefault="003A459C" w:rsidP="003A459C">
            <w:r w:rsidRPr="003A459C">
              <w:t>Advance care planning resources and training opportunities.</w:t>
            </w:r>
          </w:p>
          <w:p w14:paraId="1B6F185B" w14:textId="6F4B66C8" w:rsidR="003A459C" w:rsidRPr="001C3376" w:rsidRDefault="003A459C" w:rsidP="003A459C">
            <w:pPr>
              <w:rPr>
                <w:sz w:val="16"/>
                <w:szCs w:val="16"/>
              </w:rPr>
            </w:pPr>
          </w:p>
        </w:tc>
      </w:tr>
      <w:tr w:rsidR="003A459C" w14:paraId="21A1C301" w14:textId="77777777" w:rsidTr="00A8387E">
        <w:tc>
          <w:tcPr>
            <w:tcW w:w="10790" w:type="dxa"/>
            <w:shd w:val="clear" w:color="auto" w:fill="B7E7FF"/>
          </w:tcPr>
          <w:p w14:paraId="5373EEEC" w14:textId="2A2931B3" w:rsidR="003A459C" w:rsidRPr="003A459C" w:rsidRDefault="003A459C" w:rsidP="003A459C">
            <w:pPr>
              <w:pStyle w:val="NoSpacing"/>
              <w:rPr>
                <w:b/>
                <w:bCs/>
              </w:rPr>
            </w:pPr>
            <w:r w:rsidRPr="003A459C">
              <w:rPr>
                <w:b/>
                <w:bCs/>
                <w:sz w:val="28"/>
                <w:szCs w:val="28"/>
              </w:rPr>
              <w:t>Institute for Healthcare Improvement (IHI)</w:t>
            </w:r>
          </w:p>
        </w:tc>
      </w:tr>
      <w:tr w:rsidR="003A459C" w14:paraId="2D42A906" w14:textId="77777777" w:rsidTr="00A8387E">
        <w:tc>
          <w:tcPr>
            <w:tcW w:w="10790" w:type="dxa"/>
          </w:tcPr>
          <w:p w14:paraId="0130E51A" w14:textId="77777777" w:rsidR="001C3376" w:rsidRPr="00C0721C" w:rsidRDefault="001C3376" w:rsidP="003A459C">
            <w:pPr>
              <w:pStyle w:val="NoSpacing"/>
              <w:rPr>
                <w:sz w:val="12"/>
                <w:szCs w:val="12"/>
              </w:rPr>
            </w:pPr>
          </w:p>
          <w:p w14:paraId="5C57B031" w14:textId="376A399C" w:rsidR="003A459C" w:rsidRPr="00A8387E" w:rsidRDefault="006A56D0" w:rsidP="003A459C">
            <w:pPr>
              <w:pStyle w:val="NoSpacing"/>
              <w:rPr>
                <w:rStyle w:val="Hyperlink"/>
                <w:rFonts w:eastAsia="Times New Roman"/>
                <w:b/>
                <w:bCs/>
              </w:rPr>
            </w:pPr>
            <w:hyperlink r:id="rId27" w:history="1">
              <w:r w:rsidR="003A459C" w:rsidRPr="00A8387E">
                <w:rPr>
                  <w:rStyle w:val="Hyperlink"/>
                  <w:rFonts w:eastAsia="Times New Roman"/>
                  <w:b/>
                  <w:bCs/>
                </w:rPr>
                <w:t>“Conversation Ready”: A Framework for Improving End-of-Life Care</w:t>
              </w:r>
            </w:hyperlink>
          </w:p>
          <w:p w14:paraId="593628DB" w14:textId="77777777" w:rsidR="003A459C" w:rsidRDefault="003A459C" w:rsidP="003A459C">
            <w:pPr>
              <w:pStyle w:val="NoSpacing"/>
              <w:rPr>
                <w:rFonts w:eastAsia="Times New Roman"/>
              </w:rPr>
            </w:pPr>
            <w:r w:rsidRPr="003A459C">
              <w:rPr>
                <w:rFonts w:eastAsia="Times New Roman"/>
              </w:rPr>
              <w:t>Very effective white paper for improving end of life care within a health system.  </w:t>
            </w:r>
          </w:p>
          <w:p w14:paraId="55C2CD16" w14:textId="015FF492" w:rsidR="003A459C" w:rsidRPr="001C3376" w:rsidRDefault="003A459C" w:rsidP="003A459C">
            <w:pPr>
              <w:pStyle w:val="NoSpacing"/>
              <w:rPr>
                <w:sz w:val="16"/>
                <w:szCs w:val="16"/>
              </w:rPr>
            </w:pPr>
          </w:p>
        </w:tc>
      </w:tr>
      <w:tr w:rsidR="003A459C" w14:paraId="4DB9C43E" w14:textId="77777777" w:rsidTr="00A8387E">
        <w:tc>
          <w:tcPr>
            <w:tcW w:w="10790" w:type="dxa"/>
            <w:shd w:val="clear" w:color="auto" w:fill="B7E7FF"/>
          </w:tcPr>
          <w:p w14:paraId="715B1176" w14:textId="2F22F006" w:rsidR="003A459C" w:rsidRDefault="003A459C" w:rsidP="003A459C">
            <w:pPr>
              <w:pStyle w:val="NoSpacing"/>
            </w:pPr>
            <w:r w:rsidRPr="003A459C">
              <w:rPr>
                <w:rFonts w:eastAsia="Times New Roman"/>
                <w:b/>
                <w:bCs/>
                <w:sz w:val="28"/>
                <w:szCs w:val="28"/>
              </w:rPr>
              <w:lastRenderedPageBreak/>
              <w:t xml:space="preserve">Great Plains QIN </w:t>
            </w:r>
          </w:p>
        </w:tc>
      </w:tr>
      <w:tr w:rsidR="003A459C" w14:paraId="2434F7A6" w14:textId="77777777" w:rsidTr="00A8387E">
        <w:tc>
          <w:tcPr>
            <w:tcW w:w="10790" w:type="dxa"/>
          </w:tcPr>
          <w:p w14:paraId="4795D2EE" w14:textId="77777777" w:rsidR="001C3376" w:rsidRPr="00C0721C" w:rsidRDefault="001C3376" w:rsidP="003A459C">
            <w:pPr>
              <w:pStyle w:val="NoSpacing"/>
              <w:rPr>
                <w:sz w:val="12"/>
                <w:szCs w:val="12"/>
              </w:rPr>
            </w:pPr>
          </w:p>
          <w:p w14:paraId="0F6FA5ED" w14:textId="4BD1B83D" w:rsidR="003A459C" w:rsidRPr="00A8387E" w:rsidRDefault="006A56D0" w:rsidP="003A459C">
            <w:pPr>
              <w:pStyle w:val="NoSpacing"/>
              <w:rPr>
                <w:rFonts w:eastAsia="Times New Roman"/>
                <w:b/>
                <w:bCs/>
              </w:rPr>
            </w:pPr>
            <w:hyperlink r:id="rId28" w:history="1">
              <w:r w:rsidR="003A459C" w:rsidRPr="00A8387E">
                <w:rPr>
                  <w:rStyle w:val="Hyperlink"/>
                  <w:rFonts w:eastAsia="Times New Roman"/>
                  <w:b/>
                  <w:bCs/>
                </w:rPr>
                <w:t>Teach</w:t>
              </w:r>
              <w:r w:rsidR="00A8387E">
                <w:rPr>
                  <w:rStyle w:val="Hyperlink"/>
                  <w:rFonts w:eastAsia="Times New Roman"/>
                  <w:b/>
                  <w:bCs/>
                </w:rPr>
                <w:t>-</w:t>
              </w:r>
              <w:r w:rsidR="003A459C" w:rsidRPr="00A8387E">
                <w:rPr>
                  <w:rStyle w:val="Hyperlink"/>
                  <w:rFonts w:eastAsia="Times New Roman"/>
                  <w:b/>
                  <w:bCs/>
                </w:rPr>
                <w:t>Back Toolkit</w:t>
              </w:r>
            </w:hyperlink>
          </w:p>
          <w:p w14:paraId="638DD4AB" w14:textId="77777777" w:rsidR="003A459C" w:rsidRDefault="003A459C" w:rsidP="003A459C">
            <w:pPr>
              <w:pStyle w:val="NoSpacing"/>
            </w:pPr>
            <w:r w:rsidRPr="003A459C">
              <w:rPr>
                <w:rFonts w:eastAsia="Times New Roman"/>
              </w:rPr>
              <w:t>A self-study guide for healthcare professionals that provides education around teach-back, a communication technique used to help patients remember and understand the important information regarding their diagnosis, treatment, or medication.</w:t>
            </w:r>
            <w:r>
              <w:t xml:space="preserve"> </w:t>
            </w:r>
          </w:p>
          <w:p w14:paraId="3A51946B" w14:textId="77777777" w:rsidR="003A459C" w:rsidRPr="001C3376" w:rsidRDefault="003A459C" w:rsidP="003A459C">
            <w:pPr>
              <w:pStyle w:val="NoSpacing"/>
              <w:rPr>
                <w:sz w:val="16"/>
                <w:szCs w:val="16"/>
              </w:rPr>
            </w:pPr>
          </w:p>
          <w:p w14:paraId="0938FA6E" w14:textId="5324800F" w:rsidR="003A459C" w:rsidRPr="00A8387E" w:rsidRDefault="006A56D0" w:rsidP="003A459C">
            <w:pPr>
              <w:pStyle w:val="NoSpacing"/>
              <w:rPr>
                <w:rStyle w:val="Hyperlink"/>
                <w:rFonts w:eastAsia="Times New Roman"/>
                <w:b/>
                <w:bCs/>
              </w:rPr>
            </w:pPr>
            <w:hyperlink r:id="rId29" w:history="1">
              <w:r w:rsidR="003A459C" w:rsidRPr="00A8387E">
                <w:rPr>
                  <w:rStyle w:val="Hyperlink"/>
                  <w:rFonts w:eastAsia="Times New Roman"/>
                  <w:b/>
                  <w:bCs/>
                </w:rPr>
                <w:t>Improving End of Life Care: Eating the Elephant One Bite at a Time</w:t>
              </w:r>
            </w:hyperlink>
          </w:p>
          <w:p w14:paraId="201FF8D5" w14:textId="77777777" w:rsidR="003A459C" w:rsidRDefault="003A459C" w:rsidP="003A459C">
            <w:pPr>
              <w:pStyle w:val="NoSpacing"/>
              <w:rPr>
                <w:rFonts w:eastAsia="Times New Roman"/>
              </w:rPr>
            </w:pPr>
            <w:r w:rsidRPr="003A459C">
              <w:rPr>
                <w:rFonts w:eastAsia="Times New Roman"/>
              </w:rPr>
              <w:t>Recorded advance care planning LAN event based on IHI’s principle; includes provider stories.</w:t>
            </w:r>
          </w:p>
          <w:p w14:paraId="6AAA5969" w14:textId="0DCA2CA9" w:rsidR="003A459C" w:rsidRPr="001C3376" w:rsidRDefault="003A459C" w:rsidP="003A459C">
            <w:pPr>
              <w:pStyle w:val="NoSpacing"/>
              <w:rPr>
                <w:sz w:val="16"/>
                <w:szCs w:val="16"/>
              </w:rPr>
            </w:pPr>
          </w:p>
        </w:tc>
      </w:tr>
      <w:tr w:rsidR="003A459C" w14:paraId="5F5D0041" w14:textId="77777777" w:rsidTr="00A8387E">
        <w:tc>
          <w:tcPr>
            <w:tcW w:w="10790" w:type="dxa"/>
            <w:shd w:val="clear" w:color="auto" w:fill="B7E7FF"/>
          </w:tcPr>
          <w:p w14:paraId="1F0D615D" w14:textId="49F65F8F" w:rsidR="003A459C" w:rsidRPr="003A459C" w:rsidRDefault="003A459C" w:rsidP="003A459C">
            <w:pPr>
              <w:pStyle w:val="NoSpacing"/>
              <w:rPr>
                <w:b/>
                <w:bCs/>
              </w:rPr>
            </w:pPr>
            <w:r w:rsidRPr="003A459C">
              <w:rPr>
                <w:rFonts w:eastAsia="Times New Roman"/>
                <w:b/>
                <w:bCs/>
                <w:sz w:val="28"/>
                <w:szCs w:val="28"/>
              </w:rPr>
              <w:t>Partnership for Clear Health Communication</w:t>
            </w:r>
          </w:p>
        </w:tc>
      </w:tr>
      <w:tr w:rsidR="003A459C" w14:paraId="57C1B7CB" w14:textId="77777777" w:rsidTr="00A8387E">
        <w:tc>
          <w:tcPr>
            <w:tcW w:w="10790" w:type="dxa"/>
          </w:tcPr>
          <w:p w14:paraId="2BE86992" w14:textId="77777777" w:rsidR="001C3376" w:rsidRPr="00C0721C" w:rsidRDefault="001C3376" w:rsidP="003A459C">
            <w:pPr>
              <w:pStyle w:val="NoSpacing"/>
              <w:rPr>
                <w:sz w:val="12"/>
                <w:szCs w:val="12"/>
              </w:rPr>
            </w:pPr>
          </w:p>
          <w:p w14:paraId="674DEF94" w14:textId="59C9C070" w:rsidR="003A459C" w:rsidRPr="00A8387E" w:rsidRDefault="006A56D0" w:rsidP="003A459C">
            <w:pPr>
              <w:pStyle w:val="NoSpacing"/>
              <w:rPr>
                <w:rFonts w:eastAsia="Times New Roman"/>
                <w:b/>
                <w:bCs/>
              </w:rPr>
            </w:pPr>
            <w:hyperlink r:id="rId30" w:history="1">
              <w:r w:rsidR="003A459C" w:rsidRPr="00A8387E">
                <w:rPr>
                  <w:rStyle w:val="Hyperlink"/>
                  <w:rFonts w:eastAsia="Times New Roman"/>
                  <w:b/>
                  <w:bCs/>
                </w:rPr>
                <w:t>Ask Me 3</w:t>
              </w:r>
            </w:hyperlink>
          </w:p>
          <w:p w14:paraId="0DDFA4CB" w14:textId="3E2479A8" w:rsidR="003A459C" w:rsidRDefault="003A459C" w:rsidP="00A8387E">
            <w:pPr>
              <w:pStyle w:val="NoSpacing"/>
            </w:pPr>
            <w:r>
              <w:rPr>
                <w:rFonts w:eastAsia="Times New Roman"/>
              </w:rPr>
              <w:t>Patient education tool highlighting questions patients should ask every time they talk with</w:t>
            </w:r>
            <w:r w:rsidR="00A8387E">
              <w:rPr>
                <w:rFonts w:eastAsia="Times New Roman"/>
              </w:rPr>
              <w:t xml:space="preserve"> </w:t>
            </w:r>
            <w:r>
              <w:rPr>
                <w:rFonts w:eastAsia="Times New Roman"/>
              </w:rPr>
              <w:t>their doctor, nurse or pharmacist.</w:t>
            </w:r>
          </w:p>
        </w:tc>
      </w:tr>
    </w:tbl>
    <w:p w14:paraId="3A6ACA9E" w14:textId="334565DB" w:rsidR="00BC2B79" w:rsidRDefault="00BC2B79" w:rsidP="00BC2B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103B8" w:rsidRPr="003A459C" w14:paraId="6EAD1238" w14:textId="77777777" w:rsidTr="00212AA7">
        <w:tc>
          <w:tcPr>
            <w:tcW w:w="10790" w:type="dxa"/>
            <w:shd w:val="clear" w:color="auto" w:fill="B7E7FF"/>
          </w:tcPr>
          <w:p w14:paraId="35BB54B2" w14:textId="0431B20E" w:rsidR="00D103B8" w:rsidRPr="003A459C" w:rsidRDefault="005C12DC" w:rsidP="00212AA7">
            <w:pPr>
              <w:pStyle w:val="NoSpacing"/>
              <w:rPr>
                <w:b/>
                <w:bCs/>
              </w:rPr>
            </w:pPr>
            <w:r w:rsidRPr="005C12DC">
              <w:rPr>
                <w:b/>
                <w:bCs/>
                <w:sz w:val="28"/>
                <w:szCs w:val="28"/>
              </w:rPr>
              <w:t xml:space="preserve">American Geriatrics Society </w:t>
            </w:r>
          </w:p>
        </w:tc>
      </w:tr>
    </w:tbl>
    <w:p w14:paraId="6D66EAE5" w14:textId="662B9B05" w:rsidR="005C12DC" w:rsidRDefault="005C12DC" w:rsidP="008D030C">
      <w:pPr>
        <w:spacing w:after="0"/>
      </w:pPr>
    </w:p>
    <w:p w14:paraId="31E6F728" w14:textId="70ED924E" w:rsidR="008D030C" w:rsidRPr="00B641E5" w:rsidRDefault="006A56D0" w:rsidP="008D030C">
      <w:pPr>
        <w:spacing w:after="0"/>
        <w:rPr>
          <w:b/>
          <w:bCs/>
          <w:color w:val="0563C1"/>
          <w:u w:val="single"/>
        </w:rPr>
      </w:pPr>
      <w:hyperlink r:id="rId31" w:history="1">
        <w:r w:rsidR="003A12B5" w:rsidRPr="00E528CC">
          <w:rPr>
            <w:rStyle w:val="Hyperlink"/>
            <w:b/>
            <w:bCs/>
          </w:rPr>
          <w:t>2019 American Geriatrics Society Beers Criteria</w:t>
        </w:r>
        <w:r w:rsidR="005712FC" w:rsidRPr="00E528CC">
          <w:rPr>
            <w:rStyle w:val="Hyperlink"/>
            <w:rFonts w:cstheme="minorHAnsi"/>
            <w:b/>
            <w:bCs/>
          </w:rPr>
          <w:t>®</w:t>
        </w:r>
        <w:r w:rsidR="005712FC" w:rsidRPr="00E528CC">
          <w:rPr>
            <w:rStyle w:val="Hyperlink"/>
            <w:b/>
            <w:bCs/>
          </w:rPr>
          <w:t xml:space="preserve"> </w:t>
        </w:r>
        <w:r w:rsidR="005E2CF8" w:rsidRPr="00E528CC">
          <w:rPr>
            <w:rStyle w:val="Hyperlink"/>
            <w:b/>
            <w:bCs/>
          </w:rPr>
          <w:t>for Potentially Inappropriate Medication Use in Older Adults</w:t>
        </w:r>
      </w:hyperlink>
    </w:p>
    <w:p w14:paraId="587E4EC0" w14:textId="77777777" w:rsidR="008D030C" w:rsidRPr="00B641E5" w:rsidRDefault="008D030C" w:rsidP="00D103B8"/>
    <w:sectPr w:rsidR="008D030C" w:rsidRPr="00B641E5" w:rsidSect="001C3376">
      <w:headerReference w:type="default" r:id="rId32"/>
      <w:footerReference w:type="default" r:id="rId3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3C39" w14:textId="77777777" w:rsidR="006A56D0" w:rsidRDefault="006A56D0" w:rsidP="009420E1">
      <w:pPr>
        <w:spacing w:after="0" w:line="240" w:lineRule="auto"/>
      </w:pPr>
      <w:r>
        <w:separator/>
      </w:r>
    </w:p>
  </w:endnote>
  <w:endnote w:type="continuationSeparator" w:id="0">
    <w:p w14:paraId="43C223E8" w14:textId="77777777" w:rsidR="006A56D0" w:rsidRDefault="006A56D0" w:rsidP="009420E1">
      <w:pPr>
        <w:spacing w:after="0" w:line="240" w:lineRule="auto"/>
      </w:pPr>
      <w:r>
        <w:continuationSeparator/>
      </w:r>
    </w:p>
  </w:endnote>
  <w:endnote w:type="continuationNotice" w:id="1">
    <w:p w14:paraId="3232EB22" w14:textId="77777777" w:rsidR="006A56D0" w:rsidRDefault="006A5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6131" w14:textId="3FA9CFD4" w:rsidR="00A8387E" w:rsidRPr="00A8387E" w:rsidRDefault="00C0721C" w:rsidP="00A8387E">
    <w:pPr>
      <w:pStyle w:val="Footer"/>
      <w:jc w:val="right"/>
      <w:rPr>
        <w:sz w:val="20"/>
        <w:szCs w:val="20"/>
      </w:rPr>
    </w:pPr>
    <w:r>
      <w:rPr>
        <w:sz w:val="20"/>
        <w:szCs w:val="20"/>
      </w:rPr>
      <w:t>Updated October</w:t>
    </w:r>
    <w:r w:rsidR="00A8387E">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604D5" w14:textId="77777777" w:rsidR="006A56D0" w:rsidRDefault="006A56D0" w:rsidP="009420E1">
      <w:pPr>
        <w:spacing w:after="0" w:line="240" w:lineRule="auto"/>
      </w:pPr>
      <w:r>
        <w:separator/>
      </w:r>
    </w:p>
  </w:footnote>
  <w:footnote w:type="continuationSeparator" w:id="0">
    <w:p w14:paraId="26D2ABCB" w14:textId="77777777" w:rsidR="006A56D0" w:rsidRDefault="006A56D0" w:rsidP="009420E1">
      <w:pPr>
        <w:spacing w:after="0" w:line="240" w:lineRule="auto"/>
      </w:pPr>
      <w:r>
        <w:continuationSeparator/>
      </w:r>
    </w:p>
  </w:footnote>
  <w:footnote w:type="continuationNotice" w:id="1">
    <w:p w14:paraId="7CA43879" w14:textId="77777777" w:rsidR="006A56D0" w:rsidRDefault="006A5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CCA7" w14:textId="77777777" w:rsidR="009E442E" w:rsidRPr="00C6161C" w:rsidRDefault="009E442E" w:rsidP="009E442E">
    <w:pPr>
      <w:pStyle w:val="NoSpacing"/>
      <w:jc w:val="center"/>
      <w:rPr>
        <w:rFonts w:ascii="Century Gothic" w:hAnsi="Century Gothic"/>
        <w:b/>
        <w:bCs/>
        <w:sz w:val="24"/>
        <w:szCs w:val="24"/>
      </w:rPr>
    </w:pPr>
  </w:p>
  <w:p w14:paraId="1B30E92E" w14:textId="77777777" w:rsidR="009420E1" w:rsidRDefault="009420E1" w:rsidP="009420E1">
    <w:pPr>
      <w:pStyle w:val="No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775B7"/>
    <w:multiLevelType w:val="hybridMultilevel"/>
    <w:tmpl w:val="92F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E1"/>
    <w:rsid w:val="00024FC5"/>
    <w:rsid w:val="0003621E"/>
    <w:rsid w:val="00054EE2"/>
    <w:rsid w:val="000908E9"/>
    <w:rsid w:val="000B7AEB"/>
    <w:rsid w:val="001176F7"/>
    <w:rsid w:val="00121253"/>
    <w:rsid w:val="00197771"/>
    <w:rsid w:val="001C3376"/>
    <w:rsid w:val="001F4717"/>
    <w:rsid w:val="00254B5F"/>
    <w:rsid w:val="002B0C68"/>
    <w:rsid w:val="002C7B2F"/>
    <w:rsid w:val="003A12B5"/>
    <w:rsid w:val="003A459C"/>
    <w:rsid w:val="003C3059"/>
    <w:rsid w:val="0041500C"/>
    <w:rsid w:val="0044440C"/>
    <w:rsid w:val="0044495D"/>
    <w:rsid w:val="004632A6"/>
    <w:rsid w:val="004D203D"/>
    <w:rsid w:val="004F458B"/>
    <w:rsid w:val="00546DAE"/>
    <w:rsid w:val="00552649"/>
    <w:rsid w:val="005712FC"/>
    <w:rsid w:val="005C12DC"/>
    <w:rsid w:val="005E2CF8"/>
    <w:rsid w:val="00651EF1"/>
    <w:rsid w:val="006A56D0"/>
    <w:rsid w:val="006D1076"/>
    <w:rsid w:val="007A096F"/>
    <w:rsid w:val="008127A4"/>
    <w:rsid w:val="00832CFA"/>
    <w:rsid w:val="008B57A2"/>
    <w:rsid w:val="008D030C"/>
    <w:rsid w:val="008D352F"/>
    <w:rsid w:val="00906605"/>
    <w:rsid w:val="009420E1"/>
    <w:rsid w:val="009A06D5"/>
    <w:rsid w:val="009E442E"/>
    <w:rsid w:val="00A34ED7"/>
    <w:rsid w:val="00A47C97"/>
    <w:rsid w:val="00A8387E"/>
    <w:rsid w:val="00AD2F41"/>
    <w:rsid w:val="00AF56FB"/>
    <w:rsid w:val="00B4035B"/>
    <w:rsid w:val="00B641E5"/>
    <w:rsid w:val="00B957FF"/>
    <w:rsid w:val="00BB442E"/>
    <w:rsid w:val="00BC2B79"/>
    <w:rsid w:val="00C0721C"/>
    <w:rsid w:val="00C34948"/>
    <w:rsid w:val="00C51C2C"/>
    <w:rsid w:val="00C6161C"/>
    <w:rsid w:val="00C767FB"/>
    <w:rsid w:val="00C95E27"/>
    <w:rsid w:val="00CB674C"/>
    <w:rsid w:val="00CC369D"/>
    <w:rsid w:val="00D05456"/>
    <w:rsid w:val="00D103B8"/>
    <w:rsid w:val="00D81DEB"/>
    <w:rsid w:val="00DC27C6"/>
    <w:rsid w:val="00E145B9"/>
    <w:rsid w:val="00E528CC"/>
    <w:rsid w:val="00E74108"/>
    <w:rsid w:val="00E83DEE"/>
    <w:rsid w:val="00E92A70"/>
    <w:rsid w:val="00EA0EFD"/>
    <w:rsid w:val="00F11ED0"/>
    <w:rsid w:val="00F64774"/>
    <w:rsid w:val="6A7A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8BD80"/>
  <w15:chartTrackingRefBased/>
  <w15:docId w15:val="{58888E74-9D72-41A0-9A62-9B7091EF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4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E1"/>
  </w:style>
  <w:style w:type="paragraph" w:styleId="Footer">
    <w:name w:val="footer"/>
    <w:basedOn w:val="Normal"/>
    <w:link w:val="FooterChar"/>
    <w:uiPriority w:val="99"/>
    <w:unhideWhenUsed/>
    <w:rsid w:val="0094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E1"/>
  </w:style>
  <w:style w:type="character" w:customStyle="1" w:styleId="NoSpacingChar">
    <w:name w:val="No Spacing Char"/>
    <w:aliases w:val="Normal Text Char"/>
    <w:basedOn w:val="DefaultParagraphFont"/>
    <w:link w:val="NoSpacing"/>
    <w:uiPriority w:val="1"/>
    <w:locked/>
    <w:rsid w:val="009420E1"/>
    <w:rPr>
      <w:rFonts w:ascii="Calibri" w:hAnsi="Calibri" w:cs="Calibri"/>
    </w:rPr>
  </w:style>
  <w:style w:type="paragraph" w:styleId="NoSpacing">
    <w:name w:val="No Spacing"/>
    <w:aliases w:val="Normal Text"/>
    <w:basedOn w:val="Normal"/>
    <w:link w:val="NoSpacingChar"/>
    <w:uiPriority w:val="1"/>
    <w:qFormat/>
    <w:rsid w:val="009420E1"/>
    <w:pPr>
      <w:spacing w:after="0" w:line="240" w:lineRule="auto"/>
    </w:pPr>
    <w:rPr>
      <w:rFonts w:ascii="Calibri" w:hAnsi="Calibri" w:cs="Calibri"/>
    </w:rPr>
  </w:style>
  <w:style w:type="character" w:styleId="Hyperlink">
    <w:name w:val="Hyperlink"/>
    <w:basedOn w:val="DefaultParagraphFont"/>
    <w:uiPriority w:val="99"/>
    <w:unhideWhenUsed/>
    <w:rsid w:val="009420E1"/>
    <w:rPr>
      <w:color w:val="0563C1" w:themeColor="hyperlink"/>
      <w:u w:val="single"/>
    </w:rPr>
  </w:style>
  <w:style w:type="table" w:styleId="TableGrid">
    <w:name w:val="Table Grid"/>
    <w:basedOn w:val="TableNormal"/>
    <w:uiPriority w:val="39"/>
    <w:rsid w:val="0094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420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8387E"/>
    <w:rPr>
      <w:color w:val="605E5C"/>
      <w:shd w:val="clear" w:color="auto" w:fill="E1DFDD"/>
    </w:rPr>
  </w:style>
  <w:style w:type="character" w:styleId="FollowedHyperlink">
    <w:name w:val="FollowedHyperlink"/>
    <w:basedOn w:val="DefaultParagraphFont"/>
    <w:uiPriority w:val="99"/>
    <w:semiHidden/>
    <w:unhideWhenUsed/>
    <w:rsid w:val="00254B5F"/>
    <w:rPr>
      <w:color w:val="954F72" w:themeColor="followedHyperlink"/>
      <w:u w:val="single"/>
    </w:rPr>
  </w:style>
  <w:style w:type="character" w:customStyle="1" w:styleId="Heading1Char">
    <w:name w:val="Heading 1 Char"/>
    <w:basedOn w:val="DefaultParagraphFont"/>
    <w:link w:val="Heading1"/>
    <w:uiPriority w:val="9"/>
    <w:rsid w:val="00E145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45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t-hiin.org/topics/readmissions.shtml" TargetMode="External"/><Relationship Id="rId18" Type="http://schemas.openxmlformats.org/officeDocument/2006/relationships/hyperlink" Target="http://www.hret-hiin.org/resources/display/getting-there-guide-engage-the-right-people-on-your-performance-improvement-journey" TargetMode="External"/><Relationship Id="rId26" Type="http://schemas.openxmlformats.org/officeDocument/2006/relationships/hyperlink" Target="http://www.honoringchoicesnd.org" TargetMode="External"/><Relationship Id="rId3" Type="http://schemas.openxmlformats.org/officeDocument/2006/relationships/customXml" Target="../customXml/item3.xml"/><Relationship Id="rId21" Type="http://schemas.openxmlformats.org/officeDocument/2006/relationships/hyperlink" Target="https://www.qualityhealthnd.org/wp-content/uploads/Sakakawea-Follow-Up-Phone-Calls-template-pdf.jp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qualityhealthnd.org/wp-content/uploads/Deployment-Checklist.pdf" TargetMode="External"/><Relationship Id="rId17" Type="http://schemas.openxmlformats.org/officeDocument/2006/relationships/hyperlink" Target="http://www.hret-hiin.org/Resources/readmissions/17/aspire_tool2_readmission_review_tool.pdf" TargetMode="External"/><Relationship Id="rId25" Type="http://schemas.openxmlformats.org/officeDocument/2006/relationships/hyperlink" Target="https://www.qualityhealthnd.org/wp-content/uploads/PMC-med-surg-swb-rounding.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dicare.gov/pubs/pdf/11376-discharge-planning-checklist.pdf" TargetMode="External"/><Relationship Id="rId20" Type="http://schemas.openxmlformats.org/officeDocument/2006/relationships/hyperlink" Target="https://www.qualityhealthnd.org/wp-content/uploads/Linton-Patient-Follow-Up-Call-Form.pdf" TargetMode="External"/><Relationship Id="rId29" Type="http://schemas.openxmlformats.org/officeDocument/2006/relationships/hyperlink" Target="https://greatplainsqin.org/blog/event/improving-end-of-life-care-eating-the-elephant-one-bite-at-a-time/?instance_id=15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lityhealthnd.org/wp-content/uploads/readmission-discovery-tool-template.xlsx" TargetMode="External"/><Relationship Id="rId24" Type="http://schemas.openxmlformats.org/officeDocument/2006/relationships/hyperlink" Target="https://www.qualityhealthnd.org/wp-content/uploads/PMC-Questions-to-ask-before-discharge.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hret-hiin.org/Resources/readmissions/17/readmissions-data-collection-fact-sheet.pdf" TargetMode="External"/><Relationship Id="rId23" Type="http://schemas.openxmlformats.org/officeDocument/2006/relationships/hyperlink" Target="https://www.qualityhealthnd.org/wp-content/uploads/PMC-Your-Daily-Rountine-in-the-Hospital.pdf" TargetMode="External"/><Relationship Id="rId28" Type="http://schemas.openxmlformats.org/officeDocument/2006/relationships/hyperlink" Target="https://greatplainsqin.org/initiatives/coordination-care/teach-back-training/" TargetMode="External"/><Relationship Id="rId10" Type="http://schemas.openxmlformats.org/officeDocument/2006/relationships/image" Target="media/image1.png"/><Relationship Id="rId19" Type="http://schemas.openxmlformats.org/officeDocument/2006/relationships/hyperlink" Target="https://www.qualityhealthnd.org/wp-content/uploads/Linton-Patient-Follow-Up-Calls-Policy.pdf" TargetMode="External"/><Relationship Id="rId31" Type="http://schemas.openxmlformats.org/officeDocument/2006/relationships/hyperlink" Target="https://qioprogram.org/sites/default/files/2019BeersCriteria_JAG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et-hiin.org/Resources/readmissions/18/readmissions-change-package.pdf" TargetMode="External"/><Relationship Id="rId22" Type="http://schemas.openxmlformats.org/officeDocument/2006/relationships/hyperlink" Target="https://www.qualityhealthnd.org/wp-content/uploads/PMC-Community-Resource-Guide.pdf" TargetMode="External"/><Relationship Id="rId27" Type="http://schemas.openxmlformats.org/officeDocument/2006/relationships/hyperlink" Target="http://www.ihi.org/resources/Pages/IHIWhitePapers/ConversationReadyEndofLifeCare.aspx" TargetMode="External"/><Relationship Id="rId30" Type="http://schemas.openxmlformats.org/officeDocument/2006/relationships/hyperlink" Target="http://www.scriptyourfuture.org/hcp/download/worksheet/Ask%20Me%203%20-%20Tool%20for%20Patient%20Engagement%20.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BEF4B1C31944E83090DF589FACEAE" ma:contentTypeVersion="10" ma:contentTypeDescription="Create a new document." ma:contentTypeScope="" ma:versionID="df42003dc5ed535b63a4fb68dce23672">
  <xsd:schema xmlns:xsd="http://www.w3.org/2001/XMLSchema" xmlns:xs="http://www.w3.org/2001/XMLSchema" xmlns:p="http://schemas.microsoft.com/office/2006/metadata/properties" xmlns:ns2="b20aa172-3d79-4ffa-a930-deab782b4262" targetNamespace="http://schemas.microsoft.com/office/2006/metadata/properties" ma:root="true" ma:fieldsID="f21428f4e96203ba17472f631da87aeb" ns2:_="">
    <xsd:import namespace="b20aa172-3d79-4ffa-a930-deab782b4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aa172-3d79-4ffa-a930-deab782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0FA67-407D-4445-8115-3DF016B6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aa172-3d79-4ffa-a930-deab782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21AB1-1398-4169-BF65-5F0F929B7B70}">
  <ds:schemaRefs>
    <ds:schemaRef ds:uri="http://schemas.microsoft.com/sharepoint/v3/contenttype/forms"/>
  </ds:schemaRefs>
</ds:datastoreItem>
</file>

<file path=customXml/itemProps3.xml><?xml version="1.0" encoding="utf-8"?>
<ds:datastoreItem xmlns:ds="http://schemas.openxmlformats.org/officeDocument/2006/customXml" ds:itemID="{0D556E00-D6B2-4934-94D7-FF0EC696FA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Roland</dc:creator>
  <cp:keywords/>
  <dc:description/>
  <cp:lastModifiedBy>Geneal Roth</cp:lastModifiedBy>
  <cp:revision>20</cp:revision>
  <dcterms:created xsi:type="dcterms:W3CDTF">2020-01-31T15:25:00Z</dcterms:created>
  <dcterms:modified xsi:type="dcterms:W3CDTF">2020-02-20T20:41:00Z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0x010100460BEF4B1C31944E83090DF589FACEAE</vt:lpwstr>
  </property>
</Properties>
</file>